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ascii="Times New Roman" w:hAnsi="Times New Roman" w:eastAsia="黑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附</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件3</w:t>
      </w:r>
    </w:p>
    <w:p>
      <w:pPr>
        <w:ind w:firstLine="0" w:firstLineChars="0"/>
        <w:jc w:val="center"/>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申请机构基本情况自述</w:t>
      </w:r>
    </w:p>
    <w:p>
      <w:pPr>
        <w:pStyle w:val="2"/>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申报机构应盖章</w:t>
      </w:r>
      <w:r>
        <w:rPr>
          <w:rFonts w:hint="default" w:ascii="Times New Roman" w:hAnsi="Times New Roman" w:cs="Times New Roman"/>
          <w:color w:val="000000" w:themeColor="text1"/>
          <w14:textFill>
            <w14:solidFill>
              <w14:schemeClr w14:val="tx1"/>
            </w14:solidFill>
          </w14:textFill>
        </w:rPr>
        <w:t>）</w:t>
      </w:r>
    </w:p>
    <w:p>
      <w:pPr>
        <w:spacing w:line="480" w:lineRule="exact"/>
        <w:ind w:firstLine="482"/>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一、申请机构基本情况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1.基本概况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包括：机构名称、组织形式、法定代表人、注册资本、实缴资本、营业地址等基本信息；</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2.股东（合伙人）的基本情况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3.人员配置情况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基金管理团队人员配置安排。</w:t>
      </w:r>
    </w:p>
    <w:p>
      <w:pPr>
        <w:spacing w:line="480" w:lineRule="exact"/>
        <w:ind w:firstLine="482"/>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二、拟组建基金的投资管理团队情况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1.投资管理团队组织架构；</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2.主要投资管理团队：</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（1）主要团队成员介绍（包含工作履历、教育背景、当前管理基金情况）；</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（2）管理团队及成员作为牵头投资人的投资项目列表及团队成员个人发挥的作用；</w:t>
      </w:r>
    </w:p>
    <w:p>
      <w:pPr>
        <w:spacing w:line="480" w:lineRule="exact"/>
        <w:ind w:firstLine="482"/>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三、优势及资源</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项目储备及链接优势、各类同业对比领先指标、项目退出渠道优势（概况及案例）等。</w:t>
      </w:r>
    </w:p>
    <w:p>
      <w:pPr>
        <w:spacing w:line="480" w:lineRule="exact"/>
        <w:ind w:firstLine="482"/>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四、基金方案</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主要包括方案整体架构、投资策略、投资计划、决策机制、投后管理、退出机制、风险防范措施、管理费水平、退出项目综合收益率等，要求内容清晰、全面，符合基金设立需求，操作性强。</w:t>
      </w:r>
    </w:p>
    <w:p>
      <w:pPr>
        <w:spacing w:line="480" w:lineRule="exact"/>
        <w:ind w:firstLine="482"/>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五、合作方案</w:t>
      </w:r>
    </w:p>
    <w:p>
      <w:pPr>
        <w:spacing w:line="480" w:lineRule="exac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主要描述投标人建立何种有效机制，为隆昌市政府及基金LP开展长效日常服务，推动项目落地、管理、赋能、退出等，共同推进基金高效运作。</w:t>
      </w:r>
    </w:p>
    <w:p>
      <w:pPr>
        <w:spacing w:line="480" w:lineRule="exact"/>
        <w:ind w:firstLine="482"/>
      </w:pPr>
      <w:r>
        <w:rPr>
          <w:rFonts w:hint="default" w:ascii="Times New Roman" w:hAnsi="Times New Roman" w:cs="Times New Roman"/>
          <w:b/>
          <w:color w:val="000000" w:themeColor="text1"/>
          <w:sz w:val="24"/>
          <w14:textFill>
            <w14:solidFill>
              <w14:schemeClr w14:val="tx1"/>
            </w14:solidFill>
          </w14:textFill>
        </w:rPr>
        <w:t>六、其他与基金设立有关的情况。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YTNmMGZmOTE5MzU4YWI2NWRjMDEyNGQ0NWU5ZDYifQ=="/>
  </w:docVars>
  <w:rsids>
    <w:rsidRoot w:val="0DDC5C31"/>
    <w:rsid w:val="0DDC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b/>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pacing w:after="0" w:line="353" w:lineRule="auto"/>
      <w:ind w:firstLine="499"/>
      <w:textAlignment w:val="baseline"/>
    </w:pPr>
    <w:rPr>
      <w:sz w:val="28"/>
      <w:szCs w:val="20"/>
    </w:rPr>
  </w:style>
  <w:style w:type="paragraph" w:styleId="3">
    <w:name w:val="Body Text"/>
    <w:basedOn w:val="1"/>
    <w:qFormat/>
    <w:uiPriority w:val="0"/>
    <w:rPr>
      <w:rFonts w:ascii="仿宋_GB2312" w:hAnsi="宋体"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2024-01-10T01:06:00Z</dcterms:created>
  <dc:creator>Administrator</dc:creator>
  <cp:lastModifiedBy>Administrator</cp:lastModifiedBy>
  <dcterms:modified xsi:type="dcterms:W3CDTF">2024-01-10T01:07:35Z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D7812FA1937647329B97BA5B3E61A97D_11</vt:lpwstr>
  </property>
</Properties>
</file>