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附</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件</w:t>
      </w:r>
      <w:r>
        <w:rPr>
          <w:rFonts w:hint="default" w:ascii="Times New Roman" w:hAnsi="Times New Roman" w:eastAsia="黑体" w:cs="Times New Roman"/>
          <w:b w:val="0"/>
          <w:bCs/>
          <w:color w:val="000000" w:themeColor="text1"/>
          <w:sz w:val="32"/>
          <w:szCs w:val="32"/>
          <w14:textFill>
            <w14:solidFill>
              <w14:schemeClr w14:val="tx1"/>
            </w14:solidFill>
          </w14:textFill>
        </w:rPr>
        <w:t>1</w:t>
      </w:r>
    </w:p>
    <w:p>
      <w:pPr>
        <w:ind w:firstLine="0" w:firstLineChars="0"/>
        <w:jc w:val="center"/>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基金管理人遴选评分标准</w:t>
      </w:r>
    </w:p>
    <w:tbl>
      <w:tblPr>
        <w:tblStyle w:val="5"/>
        <w:tblW w:w="4983" w:type="pct"/>
        <w:tblInd w:w="0" w:type="dxa"/>
        <w:tblLayout w:type="autofit"/>
        <w:tblCellMar>
          <w:top w:w="0" w:type="dxa"/>
          <w:left w:w="108" w:type="dxa"/>
          <w:bottom w:w="0" w:type="dxa"/>
          <w:right w:w="108" w:type="dxa"/>
        </w:tblCellMar>
      </w:tblPr>
      <w:tblGrid>
        <w:gridCol w:w="1441"/>
        <w:gridCol w:w="721"/>
        <w:gridCol w:w="1096"/>
        <w:gridCol w:w="1051"/>
        <w:gridCol w:w="8955"/>
        <w:gridCol w:w="862"/>
      </w:tblGrid>
      <w:tr>
        <w:tblPrEx>
          <w:tblCellMar>
            <w:top w:w="0" w:type="dxa"/>
            <w:left w:w="108" w:type="dxa"/>
            <w:bottom w:w="0" w:type="dxa"/>
            <w:right w:w="108" w:type="dxa"/>
          </w:tblCellMar>
        </w:tblPrEx>
        <w:trPr>
          <w:trHeight w:val="630" w:hRule="atLeast"/>
        </w:trPr>
        <w:tc>
          <w:tcPr>
            <w:tcW w:w="11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评审指标</w:t>
            </w:r>
          </w:p>
        </w:tc>
        <w:tc>
          <w:tcPr>
            <w:tcW w:w="37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评审</w:t>
            </w:r>
          </w:p>
          <w:p>
            <w:pPr>
              <w:widowControl/>
              <w:spacing w:line="240" w:lineRule="auto"/>
              <w:ind w:firstLine="0"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分数</w:t>
            </w:r>
          </w:p>
        </w:tc>
        <w:tc>
          <w:tcPr>
            <w:tcW w:w="316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评分内容</w:t>
            </w:r>
          </w:p>
        </w:tc>
        <w:tc>
          <w:tcPr>
            <w:tcW w:w="30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备注</w:t>
            </w:r>
          </w:p>
        </w:tc>
      </w:tr>
      <w:tr>
        <w:tblPrEx>
          <w:tblCellMar>
            <w:top w:w="0" w:type="dxa"/>
            <w:left w:w="108" w:type="dxa"/>
            <w:bottom w:w="0" w:type="dxa"/>
            <w:right w:w="108" w:type="dxa"/>
          </w:tblCellMar>
        </w:tblPrEx>
        <w:trPr>
          <w:trHeight w:val="630" w:hRule="atLeast"/>
        </w:trPr>
        <w:tc>
          <w:tcPr>
            <w:tcW w:w="51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必备指标</w:t>
            </w:r>
          </w:p>
        </w:tc>
        <w:tc>
          <w:tcPr>
            <w:tcW w:w="25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w:t>
            </w:r>
          </w:p>
        </w:tc>
        <w:tc>
          <w:tcPr>
            <w:tcW w:w="38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注册</w:t>
            </w:r>
          </w:p>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资本</w:t>
            </w:r>
          </w:p>
        </w:tc>
        <w:tc>
          <w:tcPr>
            <w:tcW w:w="372" w:type="pct"/>
            <w:tcBorders>
              <w:top w:val="nil"/>
              <w:left w:val="nil"/>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w:t>
            </w:r>
          </w:p>
        </w:tc>
        <w:tc>
          <w:tcPr>
            <w:tcW w:w="3169"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基金管理机构须在中国境内依法设立，注册资本原则上不低于 1000 万元。</w:t>
            </w:r>
          </w:p>
        </w:tc>
        <w:tc>
          <w:tcPr>
            <w:tcW w:w="30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附件1、附件2</w:t>
            </w:r>
          </w:p>
        </w:tc>
      </w:tr>
      <w:tr>
        <w:tblPrEx>
          <w:tblCellMar>
            <w:top w:w="0" w:type="dxa"/>
            <w:left w:w="108" w:type="dxa"/>
            <w:bottom w:w="0" w:type="dxa"/>
            <w:right w:w="108" w:type="dxa"/>
          </w:tblCellMar>
        </w:tblPrEx>
        <w:trPr>
          <w:trHeight w:val="630"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2</w:t>
            </w:r>
          </w:p>
        </w:tc>
        <w:tc>
          <w:tcPr>
            <w:tcW w:w="38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管理</w:t>
            </w:r>
          </w:p>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资质</w:t>
            </w:r>
          </w:p>
        </w:tc>
        <w:tc>
          <w:tcPr>
            <w:tcW w:w="372" w:type="pct"/>
            <w:tcBorders>
              <w:top w:val="nil"/>
              <w:left w:val="nil"/>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w:t>
            </w:r>
          </w:p>
        </w:tc>
        <w:tc>
          <w:tcPr>
            <w:tcW w:w="3169"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具备中国证券投资基金业协会备案认可的私募基金管理人资质，且最近三年无重大违法行为。</w:t>
            </w: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3</w:t>
            </w:r>
          </w:p>
        </w:tc>
        <w:tc>
          <w:tcPr>
            <w:tcW w:w="38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管理</w:t>
            </w:r>
          </w:p>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体系</w:t>
            </w:r>
          </w:p>
        </w:tc>
        <w:tc>
          <w:tcPr>
            <w:tcW w:w="372" w:type="pct"/>
            <w:tcBorders>
              <w:top w:val="nil"/>
              <w:left w:val="nil"/>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w:t>
            </w:r>
          </w:p>
        </w:tc>
        <w:tc>
          <w:tcPr>
            <w:tcW w:w="3169"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具有健全的风险控制、财务管理、投资决策制度等，具备良好的内部治理结构和风险控制制度。</w:t>
            </w: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4</w:t>
            </w:r>
          </w:p>
        </w:tc>
        <w:tc>
          <w:tcPr>
            <w:tcW w:w="38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管理</w:t>
            </w:r>
          </w:p>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规模</w:t>
            </w:r>
          </w:p>
        </w:tc>
        <w:tc>
          <w:tcPr>
            <w:tcW w:w="372" w:type="pct"/>
            <w:tcBorders>
              <w:top w:val="nil"/>
              <w:left w:val="nil"/>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w:t>
            </w:r>
          </w:p>
        </w:tc>
        <w:tc>
          <w:tcPr>
            <w:tcW w:w="3169"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参选基金管理人或其直接、间接控股股东（公司制）、普通合伙人（合伙制）管理的基金规模累计不低于 5 亿元人民币（或等值货币）；或管理团队主要成员曾在所管理基金规模累计不低于 5 亿元人民币（或等值货币）的基金管理机构担任高级管理人员。</w:t>
            </w: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高管</w:t>
            </w:r>
          </w:p>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要求</w:t>
            </w:r>
          </w:p>
        </w:tc>
        <w:tc>
          <w:tcPr>
            <w:tcW w:w="372" w:type="pct"/>
            <w:tcBorders>
              <w:top w:val="nil"/>
              <w:left w:val="nil"/>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w:t>
            </w:r>
          </w:p>
        </w:tc>
        <w:tc>
          <w:tcPr>
            <w:tcW w:w="3169"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基金管理机构至少有 3 名具备 5 年以上创业投资管理工作经验的专职高级管理人员，高级管理人员是指在基金管理机构担任总监及以上职务或相当职务的管理人员；管理团队主要成员未有受过行政主管机关或司法机关处罚的不良记录。至少有1名</w:t>
            </w:r>
            <w:r>
              <w:rPr>
                <w:rFonts w:hint="eastAsia" w:ascii="Times New Roman" w:hAnsi="Times New Roman" w:eastAsia="仿宋" w:cs="Times New Roman"/>
                <w:b/>
                <w:bCs/>
                <w:color w:val="000000" w:themeColor="text1"/>
                <w:kern w:val="0"/>
                <w:sz w:val="21"/>
                <w:szCs w:val="21"/>
                <w:lang w:val="en-US" w:eastAsia="zh-CN"/>
                <w14:textFill>
                  <w14:solidFill>
                    <w14:schemeClr w14:val="tx1"/>
                  </w14:solidFill>
                </w14:textFill>
              </w:rPr>
              <w:t>工作</w:t>
            </w:r>
            <w:r>
              <w:rPr>
                <w:rFonts w:hint="default" w:ascii="Times New Roman" w:hAnsi="Times New Roman" w:eastAsia="仿宋" w:cs="Times New Roman"/>
                <w:b/>
                <w:bCs/>
                <w:color w:val="000000" w:themeColor="text1"/>
                <w:kern w:val="0"/>
                <w:sz w:val="21"/>
                <w:szCs w:val="21"/>
                <w14:textFill>
                  <w14:solidFill>
                    <w14:schemeClr w14:val="tx1"/>
                  </w14:solidFill>
                </w14:textFill>
              </w:rPr>
              <w:t>人员在有项目进行期间常驻隆昌市内（投资方向主要聚焦在装备制造、玻瓶陶瓷、食品饮料、新能源及新材料等领域）。基金合伙协议须对基金管理团队的核心人员进行锁定。基金存续期间被锁定人员如发生变动，</w:t>
            </w:r>
            <w:r>
              <w:rPr>
                <w:rFonts w:hint="eastAsia" w:ascii="Times New Roman" w:hAnsi="Times New Roman" w:eastAsia="仿宋" w:cs="Times New Roman"/>
                <w:b/>
                <w:bCs/>
                <w:color w:val="000000" w:themeColor="text1"/>
                <w:kern w:val="0"/>
                <w:sz w:val="21"/>
                <w:szCs w:val="21"/>
                <w:lang w:val="en-US" w:eastAsia="zh-CN"/>
                <w14:textFill>
                  <w14:solidFill>
                    <w14:schemeClr w14:val="tx1"/>
                  </w14:solidFill>
                </w14:textFill>
              </w:rPr>
              <w:t>需征得有限合伙人公司书面同意，并</w:t>
            </w:r>
            <w:r>
              <w:rPr>
                <w:rFonts w:hint="default" w:ascii="Times New Roman" w:hAnsi="Times New Roman" w:eastAsia="仿宋" w:cs="Times New Roman"/>
                <w:b/>
                <w:bCs/>
                <w:color w:val="000000" w:themeColor="text1"/>
                <w:kern w:val="0"/>
                <w:sz w:val="21"/>
                <w:szCs w:val="21"/>
                <w14:textFill>
                  <w14:solidFill>
                    <w14:schemeClr w14:val="tx1"/>
                  </w14:solidFill>
                </w14:textFill>
              </w:rPr>
              <w:t>按照上述条件进行相关人员补充。</w:t>
            </w: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1138"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6</w:t>
            </w:r>
          </w:p>
        </w:tc>
        <w:tc>
          <w:tcPr>
            <w:tcW w:w="387"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其他</w:t>
            </w:r>
          </w:p>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要求</w:t>
            </w:r>
          </w:p>
        </w:tc>
        <w:tc>
          <w:tcPr>
            <w:tcW w:w="372" w:type="pct"/>
            <w:tcBorders>
              <w:top w:val="nil"/>
              <w:left w:val="nil"/>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w:t>
            </w:r>
          </w:p>
        </w:tc>
        <w:tc>
          <w:tcPr>
            <w:tcW w:w="3169"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有符合要求的营业场所、安全防范设施和与基金管理业务有关的其他设施。</w:t>
            </w: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51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项目获取能力（30%）</w:t>
            </w:r>
          </w:p>
        </w:tc>
        <w:tc>
          <w:tcPr>
            <w:tcW w:w="2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7</w:t>
            </w:r>
          </w:p>
        </w:tc>
        <w:tc>
          <w:tcPr>
            <w:tcW w:w="38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招商能力</w:t>
            </w:r>
          </w:p>
        </w:tc>
        <w:tc>
          <w:tcPr>
            <w:tcW w:w="37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15</w:t>
            </w:r>
          </w:p>
        </w:tc>
        <w:tc>
          <w:tcPr>
            <w:tcW w:w="316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基金管理机构或其直接、间接控股股东（公司制）、普通合伙人（合伙制）具有通过基金为政府及园区招商引入项目经验，每个项目计3分（上限15分）。</w:t>
            </w:r>
          </w:p>
        </w:tc>
        <w:tc>
          <w:tcPr>
            <w:tcW w:w="305"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附件3</w:t>
            </w:r>
          </w:p>
        </w:tc>
      </w:tr>
      <w:tr>
        <w:tblPrEx>
          <w:tblCellMar>
            <w:top w:w="0" w:type="dxa"/>
            <w:left w:w="108" w:type="dxa"/>
            <w:bottom w:w="0" w:type="dxa"/>
            <w:right w:w="108" w:type="dxa"/>
          </w:tblCellMar>
        </w:tblPrEx>
        <w:trPr>
          <w:trHeight w:val="630" w:hRule="atLeast"/>
        </w:trPr>
        <w:tc>
          <w:tcPr>
            <w:tcW w:w="5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8</w:t>
            </w:r>
          </w:p>
        </w:tc>
        <w:tc>
          <w:tcPr>
            <w:tcW w:w="38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储备拟上市项目</w:t>
            </w:r>
          </w:p>
        </w:tc>
        <w:tc>
          <w:tcPr>
            <w:tcW w:w="37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10</w:t>
            </w:r>
          </w:p>
        </w:tc>
        <w:tc>
          <w:tcPr>
            <w:tcW w:w="316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提供基金管理机构或其直接、间接控股股东（公司制）、普通合伙人（合伙制）已投或拟投项目清单，拟上市项目数5家（含）以上计7分，3家计5分，2家以下（不含）计2分。(上限10分)</w:t>
            </w:r>
          </w:p>
        </w:tc>
        <w:tc>
          <w:tcPr>
            <w:tcW w:w="30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附件5</w:t>
            </w:r>
          </w:p>
        </w:tc>
      </w:tr>
      <w:tr>
        <w:tblPrEx>
          <w:tblCellMar>
            <w:top w:w="0" w:type="dxa"/>
            <w:left w:w="108" w:type="dxa"/>
            <w:bottom w:w="0" w:type="dxa"/>
            <w:right w:w="108" w:type="dxa"/>
          </w:tblCellMar>
        </w:tblPrEx>
        <w:trPr>
          <w:trHeight w:val="630" w:hRule="atLeast"/>
        </w:trPr>
        <w:tc>
          <w:tcPr>
            <w:tcW w:w="51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9</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资源背景</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5</w:t>
            </w:r>
          </w:p>
        </w:tc>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或直接、间接控股股东）具备国企背景计2分，其中国企背景可以是基金管理机构自身或其控股股东（或直接、间接控股股东、关联方）为国企；基金管理机构控股股东（或直接、间接控股股东）有多种金融牌照（如资产管理牌照、保险牌照、期货牌照，每张加1分）。该项总分不超过5分。</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附件2</w:t>
            </w:r>
          </w:p>
        </w:tc>
      </w:tr>
      <w:tr>
        <w:tblPrEx>
          <w:tblCellMar>
            <w:top w:w="0" w:type="dxa"/>
            <w:left w:w="108" w:type="dxa"/>
            <w:bottom w:w="0" w:type="dxa"/>
            <w:right w:w="108" w:type="dxa"/>
          </w:tblCellMar>
        </w:tblPrEx>
        <w:trPr>
          <w:trHeight w:val="1192" w:hRule="atLeast"/>
        </w:trPr>
        <w:tc>
          <w:tcPr>
            <w:tcW w:w="51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基金运营管理能力（30%）</w:t>
            </w:r>
          </w:p>
        </w:tc>
        <w:tc>
          <w:tcPr>
            <w:tcW w:w="2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基金管理规模</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5</w:t>
            </w:r>
          </w:p>
        </w:tc>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基金管理机构（或直接、间接控股股东）及核心团队历史管理基金实缴规模30亿元（含）以上计5分，20-30亿（不含）元计4分，10-20亿元（不含）计3分，10亿元以下计2分。</w:t>
            </w:r>
          </w:p>
        </w:tc>
        <w:tc>
          <w:tcPr>
            <w:tcW w:w="305" w:type="pct"/>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附件4</w:t>
            </w:r>
          </w:p>
        </w:tc>
      </w:tr>
      <w:tr>
        <w:tblPrEx>
          <w:tblCellMar>
            <w:top w:w="0" w:type="dxa"/>
            <w:left w:w="108" w:type="dxa"/>
            <w:bottom w:w="0" w:type="dxa"/>
            <w:right w:w="108" w:type="dxa"/>
          </w:tblCellMar>
        </w:tblPrEx>
        <w:trPr>
          <w:trHeight w:val="630" w:hRule="atLeast"/>
        </w:trPr>
        <w:tc>
          <w:tcPr>
            <w:tcW w:w="51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11</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基金管理数量</w:t>
            </w:r>
          </w:p>
        </w:tc>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5</w:t>
            </w:r>
          </w:p>
        </w:tc>
        <w:tc>
          <w:tcPr>
            <w:tcW w:w="3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基金管理机构（或直接、间接控股股东）及核心团队有5支（含）以上基金管理经验计5分；有3-5支（不含）基金管理经验的计3分；有3支以下基金管理经验的计2分。</w:t>
            </w:r>
          </w:p>
        </w:tc>
        <w:tc>
          <w:tcPr>
            <w:tcW w:w="30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12</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管理各级财政或国企资金经验</w:t>
            </w:r>
          </w:p>
        </w:tc>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10</w:t>
            </w:r>
          </w:p>
        </w:tc>
        <w:tc>
          <w:tcPr>
            <w:tcW w:w="3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基金管理机构（或直接、间接控股股东）及核心团队管理过国家、省、市、区政府引导基金或国有企业平台出资基金，管理过5支（含）以上计10分；管理过3-5支计5分；管理过3支以下（含）计3分（上限10分）</w:t>
            </w: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0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834"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13</w:t>
            </w:r>
          </w:p>
        </w:tc>
        <w:tc>
          <w:tcPr>
            <w:tcW w:w="387" w:type="pct"/>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投资能力</w:t>
            </w:r>
          </w:p>
        </w:tc>
        <w:tc>
          <w:tcPr>
            <w:tcW w:w="372" w:type="pct"/>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10</w:t>
            </w:r>
          </w:p>
        </w:tc>
        <w:tc>
          <w:tcPr>
            <w:tcW w:w="316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或直接、间接控股股东）及核心团队所管理基金或所管理基金投资子基金中所投上市企业（含境内外已过会、上市企业或参与上市公司定向增发）案例数10家（含）以上计10分；6-10家（不含）计6分；3-5家（不含）计5分；3家以下（含）计3分。</w:t>
            </w:r>
          </w:p>
        </w:tc>
        <w:tc>
          <w:tcPr>
            <w:tcW w:w="305" w:type="pct"/>
            <w:tcBorders>
              <w:top w:val="nil"/>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附件3</w:t>
            </w:r>
          </w:p>
        </w:tc>
      </w:tr>
      <w:tr>
        <w:tblPrEx>
          <w:tblCellMar>
            <w:top w:w="0" w:type="dxa"/>
            <w:left w:w="108" w:type="dxa"/>
            <w:bottom w:w="0" w:type="dxa"/>
            <w:right w:w="108" w:type="dxa"/>
          </w:tblCellMar>
        </w:tblPrEx>
        <w:trPr>
          <w:trHeight w:val="902" w:hRule="atLeast"/>
        </w:trPr>
        <w:tc>
          <w:tcPr>
            <w:tcW w:w="51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72"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169"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机构自身及核心团队（或直接、间接控股股东）近三年内（2020年至今）荣获国内行业知名机构权威榜单，每项计1分（上限2分），权威第三方包括但不限于清科中国、投中信息、以及中国基金峰会、基金研究中心等行业公认的权威机构。</w:t>
            </w:r>
          </w:p>
        </w:tc>
        <w:tc>
          <w:tcPr>
            <w:tcW w:w="305"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附件2</w:t>
            </w:r>
          </w:p>
        </w:tc>
      </w:tr>
      <w:tr>
        <w:tblPrEx>
          <w:tblCellMar>
            <w:top w:w="0" w:type="dxa"/>
            <w:left w:w="108" w:type="dxa"/>
            <w:bottom w:w="0" w:type="dxa"/>
            <w:right w:w="108" w:type="dxa"/>
          </w:tblCellMar>
        </w:tblPrEx>
        <w:trPr>
          <w:trHeight w:val="1039" w:hRule="atLeast"/>
        </w:trPr>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基金方案（10%）</w:t>
            </w:r>
          </w:p>
        </w:tc>
        <w:tc>
          <w:tcPr>
            <w:tcW w:w="255"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14</w:t>
            </w:r>
          </w:p>
        </w:tc>
        <w:tc>
          <w:tcPr>
            <w:tcW w:w="38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基金管理方案设计</w:t>
            </w:r>
          </w:p>
        </w:tc>
        <w:tc>
          <w:tcPr>
            <w:tcW w:w="372"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10</w:t>
            </w:r>
          </w:p>
        </w:tc>
        <w:tc>
          <w:tcPr>
            <w:tcW w:w="316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方案整体架构、投资策略、投资计划、决策机制、投后管理、退出机制、风险防范措施、管理费水平、退出项目综合收益率等内容清晰、全面，符合基金设立需求，操作性强。</w:t>
            </w:r>
          </w:p>
        </w:tc>
        <w:tc>
          <w:tcPr>
            <w:tcW w:w="30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附件2</w:t>
            </w:r>
          </w:p>
        </w:tc>
      </w:tr>
      <w:tr>
        <w:tblPrEx>
          <w:tblCellMar>
            <w:top w:w="0" w:type="dxa"/>
            <w:left w:w="108" w:type="dxa"/>
            <w:bottom w:w="0" w:type="dxa"/>
            <w:right w:w="108" w:type="dxa"/>
          </w:tblCellMar>
        </w:tblPrEx>
        <w:trPr>
          <w:trHeight w:val="635" w:hRule="atLeast"/>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后期联动（15%）</w:t>
            </w:r>
          </w:p>
        </w:tc>
        <w:tc>
          <w:tcPr>
            <w:tcW w:w="2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15</w:t>
            </w:r>
          </w:p>
        </w:tc>
        <w:tc>
          <w:tcPr>
            <w:tcW w:w="38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常态化服务方案</w:t>
            </w:r>
          </w:p>
        </w:tc>
        <w:tc>
          <w:tcPr>
            <w:tcW w:w="37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15</w:t>
            </w:r>
          </w:p>
        </w:tc>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投标人通过管理优势、项目资源，推进基金高效运作，后期与隆昌市政府及基金LP建立日常服务及合作方案，确保及时沟通服务，根据可实操性计分。</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附件2</w:t>
            </w:r>
          </w:p>
        </w:tc>
      </w:tr>
      <w:tr>
        <w:tblPrEx>
          <w:tblCellMar>
            <w:top w:w="0" w:type="dxa"/>
            <w:left w:w="108" w:type="dxa"/>
            <w:bottom w:w="0" w:type="dxa"/>
            <w:right w:w="108" w:type="dxa"/>
          </w:tblCellMar>
        </w:tblPrEx>
        <w:trPr>
          <w:trHeight w:val="630" w:hRule="atLeast"/>
        </w:trPr>
        <w:tc>
          <w:tcPr>
            <w:tcW w:w="5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专家审核意见（15%）</w:t>
            </w:r>
          </w:p>
        </w:tc>
        <w:tc>
          <w:tcPr>
            <w:tcW w:w="2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16</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综合</w:t>
            </w:r>
          </w:p>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评议</w:t>
            </w:r>
          </w:p>
        </w:tc>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15</w:t>
            </w:r>
          </w:p>
        </w:tc>
        <w:tc>
          <w:tcPr>
            <w:tcW w:w="3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评审委员会专家根据申报单位的资料及问询情况给出综合意见评分。</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579" w:hRule="atLeast"/>
        </w:trPr>
        <w:tc>
          <w:tcPr>
            <w:tcW w:w="51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25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11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总分100分</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100</w:t>
            </w:r>
          </w:p>
        </w:tc>
        <w:tc>
          <w:tcPr>
            <w:tcW w:w="31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　</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left"/>
              <w:rPr>
                <w:rFonts w:hint="default" w:ascii="Times New Roman" w:hAnsi="Times New Roman" w:eastAsia="仿宋" w:cs="Times New Roman"/>
                <w:b/>
                <w:bCs/>
                <w:color w:val="000000" w:themeColor="text1"/>
                <w:kern w:val="0"/>
                <w:sz w:val="21"/>
                <w:szCs w:val="21"/>
                <w14:textFill>
                  <w14:solidFill>
                    <w14:schemeClr w14:val="tx1"/>
                  </w14:solidFill>
                </w14:textFill>
              </w:rPr>
            </w:pPr>
            <w:r>
              <w:rPr>
                <w:rFonts w:hint="default" w:ascii="Times New Roman" w:hAnsi="Times New Roman" w:eastAsia="仿宋" w:cs="Times New Roman"/>
                <w:b/>
                <w:bCs/>
                <w:color w:val="000000" w:themeColor="text1"/>
                <w:kern w:val="0"/>
                <w:sz w:val="21"/>
                <w:szCs w:val="21"/>
                <w14:textFill>
                  <w14:solidFill>
                    <w14:schemeClr w14:val="tx1"/>
                  </w14:solidFill>
                </w14:textFill>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YTNmMGZmOTE5MzU4YWI2NWRjMDEyNGQ0NWU5ZDYifQ=="/>
  </w:docVars>
  <w:rsids>
    <w:rsidRoot w:val="190C2A7B"/>
    <w:rsid w:val="190C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b/>
      <w:kern w:val="2"/>
      <w:sz w:val="32"/>
      <w:szCs w:val="3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adjustRightInd w:val="0"/>
      <w:spacing w:after="0" w:line="353" w:lineRule="auto"/>
      <w:ind w:firstLine="499"/>
      <w:textAlignment w:val="baseline"/>
    </w:pPr>
    <w:rPr>
      <w:sz w:val="28"/>
      <w:szCs w:val="20"/>
    </w:rPr>
  </w:style>
  <w:style w:type="paragraph" w:styleId="3">
    <w:name w:val="Body Text"/>
    <w:basedOn w:val="1"/>
    <w:qFormat/>
    <w:uiPriority w:val="0"/>
    <w:rPr>
      <w:rFonts w:ascii="仿宋_GB2312" w:hAnsi="宋体" w:eastAsia="仿宋_GB2312"/>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2024-01-10T01:03:00Z</dcterms:created>
  <dc:creator>Administrator</dc:creator>
  <cp:lastModifiedBy>Administrator</cp:lastModifiedBy>
  <dcterms:modified xsi:type="dcterms:W3CDTF">2024-01-10T01:04:50Z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EA04DECBFB884A5FAB7902F6D082D567_11</vt:lpwstr>
  </property>
</Properties>
</file>